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Architecture of Vigilance: A Comprehensive Analysis of the Core Elements of an AML Risk Assessment Framework in Canadian Banking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Regulatory Imperative and the Risk-Based Approach (RBA)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Anti-Money Laundering (AML) risk assessment stands as the cornerstone of a modern financial institution's defense against financial crime. In Canada, this is not merely an internal control or a best practice; it is a foundational legal and regulatory mandate under the </w:t>
      </w:r>
      <w:r w:rsidDel="00000000" w:rsidR="00000000" w:rsidRPr="00000000">
        <w:rPr>
          <w:rFonts w:ascii="Google Sans Text" w:cs="Google Sans Text" w:eastAsia="Google Sans Text" w:hAnsi="Google Sans Text"/>
          <w:i w:val="1"/>
          <w:color w:val="1b1c1d"/>
          <w:rtl w:val="0"/>
        </w:rPr>
        <w:t xml:space="preserve">Proceeds of Crime (Money Laundering) and Terrorist Financing Act</w:t>
      </w:r>
      <w:r w:rsidDel="00000000" w:rsidR="00000000" w:rsidRPr="00000000">
        <w:rPr>
          <w:rFonts w:ascii="Google Sans Text" w:cs="Google Sans Text" w:eastAsia="Google Sans Text" w:hAnsi="Google Sans Text"/>
          <w:color w:val="1b1c1d"/>
          <w:rtl w:val="0"/>
        </w:rPr>
        <w:t xml:space="preserve"> (PCMLTFA) that shapes the entirety of a bank's compliance program.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section will establish the Canadian context for the AML risk assessment, defining its legal basis, its strategic purpose, and its role as the engine of the globally accepted and FINTRAC-mandated Risk-Based Approach (RBA).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AML Risk Assessment as a Foundational Legal Requirement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regulated reporting entities such as banks, conducting a comprehensive AML risk assessment is a non-negotiable legal requirement under the PCMLTFA.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positioned as the first and most critical step in an institution's efforts to protect itself from regulatory breaches and to fulfill its gatekeeper role in preventing criminals, terrorist financiers, and other illicit actors from accessing the Canadian and global financial systems.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Canada's financial intelligence unit and primary AML supervisor, the Financial Transactions and Reports Analysis Centre of Canada (FINTRAC), views the risk assessment as the roadmap for the entire compliance program.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During compliance examinations, FINTRAC assesses the effectiveness of a reporting entity's risk assessment framework to evaluate the adequacy of the entire compliance structure.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Failure to develop and maintain an adequate risk assessment can trigger a cascade of negative consequences. These range from regulatory sanctions and significant administrative monetary penalties (AMPs) to severe reputational damage that can erode customer trust and franchise value.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Recent enforcement actions by FINTRAC against major Canadian banks have highlighted deficiencies in risk assessment and the application of special measures for high-risk clients, resulting in substantial penalties.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the most egregious cases, non-compliance with the PCMLTFA can lead to criminal charges against the institution and its leadership.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Deconstructing the Risk-Based Approach (RBA): FINTRAC Principles and Regulatory Expectations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standard for AML and Countering the Financing of Terrorism (ATF) compliance is the Risk-Based Approach (RBA), championed by the Financial Action Task Force (FATF).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Canada, the RBA is a legal requirement under the PCMLTFA and is central to FINTRAC's guidance.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RBA mandates that banks must actively identify, assess, and understand their unique money laundering and terrorist financing (ML/TF) risks to apply mitigation measures that are commensurate with those risks.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tenet of the RBA is proportionality. It enables a bank to focus its finite compliance resources where they are most needed—applying enhanced measures and greater scrutiny to situations presenting higher risks, while allowing for simplified measures where risks are demonstrably lower.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flexibility fosters a more efficient and effective use of resources, moving away from a rigid, "tick-box" compliance exercise that can be easily circumvented by sophisticated criminals.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RBA is fundamentally a dynamic process, not a static one. The risk assessment must evolve in tandem with the institution's business activities, its customer base, and the ever-changing external threat landscape.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involves a continuous cycle of risk identification, assessment of controls, mitigation of residual risks, and ongoing monitoring.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adoption of the RBA signifies a fundamental philosophical shift in the nature of compliance. Early AML regulations were often highly prescriptive, such as the initial requirement to report all cash transactions exceeding $10,000.</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created a "one-size-fits-all" compliance burden that was both inefficient and, in many ways, ineffective. Criminals quickly learned to adapt by, for example, structuring transactions to fall just below the reporting threshold.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Global bodies like the FATF recognized that a more intelligent framework was needed. The RBA forces banks to think like the adversary—to identify their own unique vulnerabilities based on their specific products, customers, and geographic footprint, rather than merely adhering to a universal checklist.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transformation has profound implications for a bank's internal structure, technology, and talent. It recasts the compliance function from a purely legal or administrative role into a strategic risk management and intelligence function. It demands data analysts, not just lawyers; dynamic analytical systems, not just static rulebooks; and proactive threat assessments, not just reactive reporting. This cultural and operational transformation requires significant investment in analytics, specialized expertise, and a more agile governance structure capable of interpreting and acting upon risk intelligence.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Strategic Purpose: Beyond Compliance to Institutional Protection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mandated by law, the strategic value of a robust AML risk assessment extends far beyond regulatory appeasement. It is a fundamental component of the institution's overall risk management function, a key expectation of both FINTRAC and Canada's prudential regulator, the Office of the Superintendent of Financial Institutions (OSFI).</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well-executed assessment protects the bank from being an unwitting participant in financial crime, thereby safeguarding its most valuable assets: its reputation, integrity, and the trust of its customers and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risk assessment provides senior management and the Board of Directors with a clear, documented, and defensible understanding of the institution's aggregate ML/TF risk profile.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clarity is essential for making informed strategic decisions, including defining the institution's risk appetite—the level of risk it is willing to accept in pursuit of its business objectives.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the process of mapping inherent risks against existing controls can be of particular value in identifying not only critical gaps in the bank's defenses but also potential inefficiencies or redundancies in its processes, allowing for more streamlined and effective operations.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Ultimately, the goal is to provide timely, relevant, and actionable information that not only protects the bank but also aids law enforcement in the broader fight against financial crime.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Methodological Core: From Inherent to Residual Risk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AML risk assessment is a structured, analytical process designed to move from a broad understanding of potential threats to a precise calculation of actual vulnerability. This methodology, outlined in FINTRAC's guidance, is built upon the foundational concepts of inherent risk, control effectiveness, and residual risk, which together form the analytical engine of the assessment.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Step 1: Identifying and Quantifying Inherent Risk Across the Enterprise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risk assessment process begins with the identification and measurement of </w:t>
      </w:r>
      <w:r w:rsidDel="00000000" w:rsidR="00000000" w:rsidRPr="00000000">
        <w:rPr>
          <w:rFonts w:ascii="Google Sans Text" w:cs="Google Sans Text" w:eastAsia="Google Sans Text" w:hAnsi="Google Sans Text"/>
          <w:b w:val="1"/>
          <w:color w:val="1b1c1d"/>
          <w:rtl w:val="0"/>
        </w:rPr>
        <w:t xml:space="preserve">inherent risks</w:t>
      </w:r>
      <w:r w:rsidDel="00000000" w:rsidR="00000000" w:rsidRPr="00000000">
        <w:rPr>
          <w:rFonts w:ascii="Google Sans Text" w:cs="Google Sans Text" w:eastAsia="Google Sans Text" w:hAnsi="Google Sans Text"/>
          <w:color w:val="1b1c1d"/>
          <w:rtl w:val="0"/>
        </w:rPr>
        <w:t xml:space="preserve">. This is defined as the intrinsic ML/TF risk that an institution faces based on its activities and business model, in the complete absence of any mitigating controls or procedures.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the raw, unmitigated exposure to potential financial crime.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initial step requires a comprehensive, enterprise-wide inventory of all potential risk exposures.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bank must systematically identify specific risk categories that are unique to its operations. While FINTRAC does not prescribe a specific methodology, its guidance consistently points to several primary pillars: products, services, and delivery channels; clients and business relationships; geography; and new technologies and other relevant factors.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analysis within these categories must be both qualitative, considering factors like the complexity of a private banking product, and quantitative, measuring metrics such as the volume and monetary value of transactions originating from or destined for high-risk jurisdictions.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Step 2: Assessing the Efficacy of Preventative and Detective Controls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mapping the landscape of inherent risks, the next critical step is to evaluate the design and operational effectiveness of the bank's existing internal controls that are intended to mitigate these risks.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controls can be broadly divided into two categories: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Preventative Controls:</w:t>
      </w:r>
      <w:r w:rsidDel="00000000" w:rsidR="00000000" w:rsidRPr="00000000">
        <w:rPr>
          <w:rFonts w:ascii="Google Sans Text" w:cs="Google Sans Text" w:eastAsia="Google Sans Text" w:hAnsi="Google Sans Text"/>
          <w:color w:val="1b1c1d"/>
          <w:rtl w:val="0"/>
        </w:rPr>
        <w:t xml:space="preserve"> These are proactive measures designed to stop ML/TF activity before it can enter or move through the financial system. Key examples include the bank's client identification program, Know Your Customer (KYC) policies, Customer Due Diligence (CDD) procedures, sanctions screening, and screening for Politically Exposed Persons (PEPs) and Heads of International Organizations (HIOs).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Detective Controls:</w:t>
      </w:r>
      <w:r w:rsidDel="00000000" w:rsidR="00000000" w:rsidRPr="00000000">
        <w:rPr>
          <w:rFonts w:ascii="Google Sans Text" w:cs="Google Sans Text" w:eastAsia="Google Sans Text" w:hAnsi="Google Sans Text"/>
          <w:color w:val="1b1c1d"/>
          <w:rtl w:val="0"/>
        </w:rPr>
        <w:t xml:space="preserve"> These are reactive measures designed to identify ML/TF activity after it has been attempted or has occurred. The primary detective controls are the bank's transaction monitoring systems, which flag unusual activity, and the subsequent investigation and suspicious transaction reporting (STR) processes.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assessment must be a critical and objective exercise. It is not enough to simply list the controls in place; the bank must rigorously test their effectiveness and identify any gaps, weaknesses, or limitations in the overall control framework.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example, a transaction monitoring system may be in place, but if its rules are poorly calibrated to the bank's specific risks, its effectiveness is compromised.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Step 3: Calculating and Managing Residual Risk in Alignment with Institutional Risk Appetite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risk assessment process is the calculation of </w:t>
      </w:r>
      <w:r w:rsidDel="00000000" w:rsidR="00000000" w:rsidRPr="00000000">
        <w:rPr>
          <w:rFonts w:ascii="Google Sans Text" w:cs="Google Sans Text" w:eastAsia="Google Sans Text" w:hAnsi="Google Sans Text"/>
          <w:b w:val="1"/>
          <w:color w:val="1b1c1d"/>
          <w:rtl w:val="0"/>
        </w:rPr>
        <w:t xml:space="preserve">residual risk</w:t>
      </w:r>
      <w:r w:rsidDel="00000000" w:rsidR="00000000" w:rsidRPr="00000000">
        <w:rPr>
          <w:rFonts w:ascii="Google Sans Text" w:cs="Google Sans Text" w:eastAsia="Google Sans Text" w:hAnsi="Google Sans Text"/>
          <w:color w:val="1b1c1d"/>
          <w:rtl w:val="0"/>
        </w:rPr>
        <w:t xml:space="preserve">. This is the level of ML/TF risk that remains after the mitigating effects of the preventative and detective controls have been taken into account.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can be expressed conceptually by the equation: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ResidualRisk=InherentRisk–QualityofControls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calculation provides the most realistic and actionable picture of the bank's true ML/TF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resulting residual risk profile, which should categorize risks as low, medium, or high, is the primary output of the assessment.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quantified profile is then presented to senior management and the Board of Directors, who must evaluate it against the institution's formally defined </w:t>
      </w:r>
      <w:r w:rsidDel="00000000" w:rsidR="00000000" w:rsidRPr="00000000">
        <w:rPr>
          <w:rFonts w:ascii="Google Sans Text" w:cs="Google Sans Text" w:eastAsia="Google Sans Text" w:hAnsi="Google Sans Text"/>
          <w:b w:val="1"/>
          <w:color w:val="1b1c1d"/>
          <w:rtl w:val="0"/>
        </w:rPr>
        <w:t xml:space="preserve">risk appetite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If the calculated residual risk in a particular area—for instance, in its foreign correspondent banking division—is rated 'High' and the board's stated risk appetite for that area is 'Medium,' a critical mismatch exists. This triggers a strategic decision: the bank must either invest in enhancing its controls to bring the residual risk down to an acceptable level or, in some cases, make the strategic choice to de-risk by exiting that line of business or certain high-risk relationships.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framework of moving from inherent to residual risk is not merely a mathematical exercise; it is a critical tool for strategic resource allocation and regulatory communication. It fundamentally transforms the compliance function from a perceived cost center into a strategic business partner. Historically, compliance budgets were often viewed as a necessary but non-productive expense, with regulators simply pointing out deficiencies after the fact. The Inherent -&gt; Controls -&gt; Residual Risk model provides a quantifiable and defensible narrative.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Chief Compliance Officer can now approach the board with a clear, data-driven analysis: "Our inherent risk in private banking is 'High.' Our current controls, which we have assessed as 'Moderately Effective,' reduce this to a residual risk of 'Medium.'" This quantification shifts the conversation from a vague plea for resources to a precise, business-centric discussion. The strategic question becomes: "Is a 'Medium' residual risk in this business line consistent with our institutional risk appetite?".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If the answer is no, the compliance function can articulate the exact investment needed to address the gap: "To reduce the residual risk to our target of 'Low,' we require an investment in an enhanced transaction monitoring system with advanced analytics, at a projected cost of X." This allows the board to conduct a clear cost-benefit analysis, weighing the cost of enhanced controls against the potential financial and reputational costs of accepting a higher level of risk.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documented rationale also provides a powerful and defensible position to regulators, demonstrating a thoughtful, structured, and data-driven approach to risk management, which is the very essence of the RBA.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Cyclical Process: The Mandate for Continuous Monitoring, Review, and Updates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AML risk assessment cannot be a static document, completed once and filed away. To remain effective, it must be a living framework, subject to continuous monitoring and periodic review.</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Under the PCMLTFA, reporting entities must conduct a review of their compliance program's effectiveness, including the risk assessment, at least every two years.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scheduled updates, the risk assessment must also be revisited and revised in response to specific trigger events.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Such events include:</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launch of a new product or service.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Entry into a new geographic market.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merger with or acquisition of another institution.</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Significant changes in the bank's business model or customer base.</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emergence of new ML/TF typologies or threats, as identified by FINTRAC or other bodies.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Significant changes in the regulatory landscape, such as amendments to the PCMLTFA.</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cyclical process of review and update ensures that the bank's understanding of its risk profile remains current and that its AML controls are appropriately calibrated to address the most relevant and pressing threats in a dynamic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Primary Pillars of Risk: A Deep Dive into Key Categories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AML risk assessment is built upon a granular analysis of the specific ways in which a bank can be exposed to financial crime. This analysis is structured around four primary pillars of risk: the nature of the customer, the geographic context of the business, the vulnerabilities of the products and services offered, and the channels through which they are delivered.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Customer Risk Profile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assessment of customer risk is arguably the most critical pillar of the AML framework. It requires the bank to evaluate the potential ML/TF risk associated with each customer based on their specific attributes, expected activities, and patterns of behavior.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FINTRAC emphasizes that no single customer type is automatically deemed high-risk; rather, the risk level depends on a holistic evaluation of numerous factors.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However, certain customer typologies inherently present a higher risk profile and demand greater scrutiny.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Typologies of High-Risk Customers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Politically Exposed Persons (PEPs):</w:t>
      </w:r>
      <w:r w:rsidDel="00000000" w:rsidR="00000000" w:rsidRPr="00000000">
        <w:rPr>
          <w:rFonts w:ascii="Google Sans Text" w:cs="Google Sans Text" w:eastAsia="Google Sans Text" w:hAnsi="Google Sans Text"/>
          <w:color w:val="1b1c1d"/>
          <w:rtl w:val="0"/>
        </w:rPr>
        <w:t xml:space="preserve"> Under the PCMLTFA, reporting entities must determine if a client is a domestic PEP, a foreign PEP, a Head of an International Organization (HIO), or a family member or close associate of 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positions make them vulnerable to involvement in bribery and corruption, and they may seek to use the financial system to launder the proceeds of these predicate offenses.</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High-Net-Worth Individuals (HNWIs):</w:t>
      </w:r>
      <w:r w:rsidDel="00000000" w:rsidR="00000000" w:rsidRPr="00000000">
        <w:rPr>
          <w:rFonts w:ascii="Google Sans Text" w:cs="Google Sans Text" w:eastAsia="Google Sans Text" w:hAnsi="Google Sans Text"/>
          <w:color w:val="1b1c1d"/>
          <w:rtl w:val="0"/>
        </w:rPr>
        <w:t xml:space="preserve"> While not inherently illicit, HNWIs can pose elevated risks due to the large value of their transactions and the complexity of their financial arrangements, which may involve multiple jurisdictions and sophisticated legal structures designed to manage wealth and ensure privacy.</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Non-Resident Customers:</w:t>
      </w:r>
      <w:r w:rsidDel="00000000" w:rsidR="00000000" w:rsidRPr="00000000">
        <w:rPr>
          <w:rFonts w:ascii="Google Sans Text" w:cs="Google Sans Text" w:eastAsia="Google Sans Text" w:hAnsi="Google Sans Text"/>
          <w:color w:val="1b1c1d"/>
          <w:rtl w:val="0"/>
        </w:rPr>
        <w:t xml:space="preserve"> Individuals or entities that are not residents of Canada may pose higher risks. This is due to the inherent difficulties in verifying their identity, understanding their source of wealth, and monitoring their activities from a distance.</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Cash-Intensive Businesses:</w:t>
      </w:r>
      <w:r w:rsidDel="00000000" w:rsidR="00000000" w:rsidRPr="00000000">
        <w:rPr>
          <w:rFonts w:ascii="Google Sans Text" w:cs="Google Sans Text" w:eastAsia="Google Sans Text" w:hAnsi="Google Sans Text"/>
          <w:color w:val="1b1c1d"/>
          <w:rtl w:val="0"/>
        </w:rPr>
        <w:t xml:space="preserve"> Certain industries and businesses that conduct a high volume of cash transactions are particularly vulnerable to money laundering. These include casinos, bars, restaurants, precious metal dealers, and certain retail operations. Cash provides anonymity and allows illicit funds to be easily co-mingled with legitimate business revenues, making it difficult to trace their origin.</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Money Service Businesses (MSBs):</w:t>
      </w:r>
      <w:r w:rsidDel="00000000" w:rsidR="00000000" w:rsidRPr="00000000">
        <w:rPr>
          <w:rFonts w:ascii="Google Sans Text" w:cs="Google Sans Text" w:eastAsia="Google Sans Text" w:hAnsi="Google Sans Text"/>
          <w:color w:val="1b1c1d"/>
          <w:rtl w:val="0"/>
        </w:rPr>
        <w:t xml:space="preserve"> Customers such as currency exchanges and money transmitters are considered higher risk because they facilitate a high volume of transactions, often cross-border, which can be exploited to obscure the money trail and layer illicit funds.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 Ownership Structures:</w:t>
      </w:r>
      <w:r w:rsidDel="00000000" w:rsidR="00000000" w:rsidRPr="00000000">
        <w:rPr>
          <w:rFonts w:ascii="Google Sans Text" w:cs="Google Sans Text" w:eastAsia="Google Sans Text" w:hAnsi="Google Sans Text"/>
          <w:color w:val="1b1c1d"/>
          <w:rtl w:val="0"/>
        </w:rPr>
        <w:t xml:space="preserve"> A significant red flag is a customer, typically a legal entity, that uses complex structures to obscure its true ownership. This can involve the use of shell companies, trusts, foundations, or nominee shareholders, often layered across multiple offshore jurisdictions with weak transparency requirements. The primary goal of such structures is often to conceal the identity of the ultimate beneficial owner (UBO), a key focus of FINTRAC's client identification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Behavioral and Transactional Indicators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static attributes, the assessment of customer risk must include a dynamic analysis of their behavior and transaction history. FINTRAC provides extensive guidance on ML/TF indicators that should be considered red flags.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Key examples include:</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Transactions that are inconsistent with the customer's known personal or business profile.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Attempts to structure cash deposits or withdrawals in a way that avoids the C$10,000 Large Cash Transaction Report (LCTR) threshold.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Unusually rapid movement of funds between multiple accounts, especially with no apparent economic purpose.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reluctance to provide required identification or information about the source of wealth or funds.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Geographic Risk Exposure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pillar of the risk assessment evaluates the ML/TF risks stemming from the geographic locations where the bank operates, where its customers reside or conduct business, and where its transactions originate or terminate.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analysis must extend beyond the bank's physical footprint to encompass the entire geographic ecosystem of its activities.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High-Risk Jurisdictions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primary task is to identify and screen against lists of high-risk and non-cooperative jurisdictions. The most authoritative of these are maintained by the FATF, which periodically issues public statements identifying:</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High-Risk Jurisdictions subject to a Call for Action (the "black list"):</w:t>
      </w:r>
      <w:r w:rsidDel="00000000" w:rsidR="00000000" w:rsidRPr="00000000">
        <w:rPr>
          <w:rFonts w:ascii="Google Sans Text" w:cs="Google Sans Text" w:eastAsia="Google Sans Text" w:hAnsi="Google Sans Text"/>
          <w:color w:val="1b1c1d"/>
          <w:rtl w:val="0"/>
        </w:rPr>
        <w:t xml:space="preserve"> These are countries with significant strategic deficiencies in their AML/ATF regimes, such as the Democratic People's Republic of Korea (DPRK) and Iran. FATF calls for countermeasures to be applied to these jurisdictions.</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Jurisdictions Under Increased Monitoring (the "grey list"):</w:t>
      </w:r>
      <w:r w:rsidDel="00000000" w:rsidR="00000000" w:rsidRPr="00000000">
        <w:rPr>
          <w:rFonts w:ascii="Google Sans Text" w:cs="Google Sans Text" w:eastAsia="Google Sans Text" w:hAnsi="Google Sans Text"/>
          <w:color w:val="1b1c1d"/>
          <w:rtl w:val="0"/>
        </w:rPr>
        <w:t xml:space="preserve"> These are countries that have committed to resolving identified strategic deficiencies within an agreed timeframe but are subject to increased monitoring.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addition to FATF lists, banks must monitor jurisdictions subject to Canadian sanctions programs, such as those administered under the </w:t>
      </w:r>
      <w:r w:rsidDel="00000000" w:rsidR="00000000" w:rsidRPr="00000000">
        <w:rPr>
          <w:rFonts w:ascii="Google Sans Text" w:cs="Google Sans Text" w:eastAsia="Google Sans Text" w:hAnsi="Google Sans Text"/>
          <w:i w:val="1"/>
          <w:color w:val="1b1c1d"/>
          <w:rtl w:val="0"/>
        </w:rPr>
        <w:t xml:space="preserve">Special Economic Measures Act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Factors for Assessment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official lists, the bank's own geographic risk assessment should consider a range of factors for any given jurisdiction, including:</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Perceived levels of corruption, as measured by credible sources like Transparency International.</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strength and effectiveness of local AML/ATF regulations and supervision.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Political instability or the presence of conflict.</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known presence of significant organized crime syndicates or designated terrorist organizations.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Product and Service Vulnerabilities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pillar requires the bank to turn its analytical lens inward, evaluating the inherent risks that its own products and services could be exploited for ML/TF purposes.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Certain financial products, by their nature, offer features that are attractive to money launderers, such as speed, anonymity, or cross-border reach.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High-Risk Offerings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Banking:</w:t>
      </w:r>
      <w:r w:rsidDel="00000000" w:rsidR="00000000" w:rsidRPr="00000000">
        <w:rPr>
          <w:rFonts w:ascii="Google Sans Text" w:cs="Google Sans Text" w:eastAsia="Google Sans Text" w:hAnsi="Google Sans Text"/>
          <w:color w:val="1b1c1d"/>
          <w:rtl w:val="0"/>
        </w:rPr>
        <w:t xml:space="preserve"> This service is consistently rated as high-risk due to its focus on client confidentiality, the high value of assets under management, and the use of complex wealth-holding structures. It caters to HNWIs and PEPs, who themselves can present elevated risk profiles.</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Correspondent Banking:</w:t>
      </w:r>
      <w:r w:rsidDel="00000000" w:rsidR="00000000" w:rsidRPr="00000000">
        <w:rPr>
          <w:rFonts w:ascii="Google Sans Text" w:cs="Google Sans Text" w:eastAsia="Google Sans Text" w:hAnsi="Google Sans Text"/>
          <w:color w:val="1b1c1d"/>
          <w:rtl w:val="0"/>
        </w:rPr>
        <w:t xml:space="preserve"> Providing banking services to other FIs, particularly foreign correspondent banks, creates a significant vulnerability. It can grant smaller, less-regulated foreign banks indirect access to the global financial system through the correspondent relationship, potentially bypassing robust controls.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 Funds Transfers (Wire Transfers):</w:t>
      </w:r>
      <w:r w:rsidDel="00000000" w:rsidR="00000000" w:rsidRPr="00000000">
        <w:rPr>
          <w:rFonts w:ascii="Google Sans Text" w:cs="Google Sans Text" w:eastAsia="Google Sans Text" w:hAnsi="Google Sans Text"/>
          <w:color w:val="1b1c1d"/>
          <w:rtl w:val="0"/>
        </w:rPr>
        <w:t xml:space="preserve"> A classic tool used in the "layering" stage of money laundering, wire transfers allow for the rapid movement of large sums of money across the globe, making it difficult to follow the audit trail.</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Assets and Cryptocurrency Services:</w:t>
      </w:r>
      <w:r w:rsidDel="00000000" w:rsidR="00000000" w:rsidRPr="00000000">
        <w:rPr>
          <w:rFonts w:ascii="Google Sans Text" w:cs="Google Sans Text" w:eastAsia="Google Sans Text" w:hAnsi="Google Sans Text"/>
          <w:color w:val="1b1c1d"/>
          <w:rtl w:val="0"/>
        </w:rPr>
        <w:t xml:space="preserve"> The rise of virtual assets presents new and evolving risks, a key focus for FINTRAC.</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anonymity-enhancing features of some cryptocurrencies and mixing services, combined with the speed and borderless nature of transactions, make them highly attractive for illicit finance.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Products Enabling Anonymity:</w:t>
      </w:r>
      <w:r w:rsidDel="00000000" w:rsidR="00000000" w:rsidRPr="00000000">
        <w:rPr>
          <w:rFonts w:ascii="Google Sans Text" w:cs="Google Sans Text" w:eastAsia="Google Sans Text" w:hAnsi="Google Sans Text"/>
          <w:color w:val="1b1c1d"/>
          <w:rtl w:val="0"/>
        </w:rPr>
        <w:t xml:space="preserve"> Any product that can obscure the identity of the user or the source of funds carries higher risk. This includes certain types of prepaid cards, anonymous digital wallets, or accounts that can be opened with minimal identification.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Delivery Channel Risk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pillar assesses the risks associated with the methods and channels through which the bank delivers its products and services to customers.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way a customer interacts with the bank can significantly impact the institution's ability to verify identity and monitor activity.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High-Risk Delivery Channels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Non-Face-to-Face Onboarding:</w:t>
      </w:r>
      <w:r w:rsidDel="00000000" w:rsidR="00000000" w:rsidRPr="00000000">
        <w:rPr>
          <w:rFonts w:ascii="Google Sans Text" w:cs="Google Sans Text" w:eastAsia="Google Sans Text" w:hAnsi="Google Sans Text"/>
          <w:color w:val="1b1c1d"/>
          <w:rtl w:val="0"/>
        </w:rPr>
        <w:t xml:space="preserve"> Digital, online, and other remote account-opening processes inherently carry a higher risk than traditional in-person onboarding. The lack of physical interaction makes it more challenging to verify that the individual presenting the identity documents is the true owner. This risk necessitates the use of robust digital identity verification technologies and multi-factor authentication, for which FINTRAC provides specific guidance, to compensate for the lack of physical presence.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Third-Party Intermediaries:</w:t>
      </w:r>
      <w:r w:rsidDel="00000000" w:rsidR="00000000" w:rsidRPr="00000000">
        <w:rPr>
          <w:rFonts w:ascii="Google Sans Text" w:cs="Google Sans Text" w:eastAsia="Google Sans Text" w:hAnsi="Google Sans Text"/>
          <w:color w:val="1b1c1d"/>
          <w:rtl w:val="0"/>
        </w:rPr>
        <w:t xml:space="preserve"> When a bank relies on third parties—such as agents, brokers, or other introducers—to acquire customers, it introduces an additional layer of risk. While the intermediary may perform initial due diligence, the bank remains ultimately responsible and liable for ensuring that all PCMLTFA obligations are met.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matrix of indicators to help summarize and categorize the various risk factors discussed. This tool can serve as a practical reference for developing or validating internal risk-scoring models, reinforcing the principle of proportionality that underpins the RBA.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Risk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Risk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Risk Indicators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Salaried individual with a stable, predictable transaction history; publicly listed domestic corporation in a regulated 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Non-profit organization operating domestically; established business with moderate cash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 Politically Exposed Person (PEP); cash-intensive business (e.g., casino, precious metals dealer); entity with nominee shareholders or complex offshore trust structure; non-resident customer with no clear ties to the jurisdiction.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Geographic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Transactions are purely domestic within a well-regulated, politically stable country with low corruption (e.g., a FATF member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Transactions involving a country with a moderate corruption index or known weaknesses in its AML/ATF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Transactions originating from or destined to a jurisdiction on the FATF "black list" (e.g., Iran, DPRK) or "grey list"; country subject to Canadian sanctions; jurisdiction known for terrorism, narcotics production, or high levels of organized crime.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retail savings or checking account with low transaction volume; secured personal loan (e.g., mortgage).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commercial loan for a known business; wealth management services for a domestic, non-PEP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banking for a High-Net-Worth Individual (HNWI); foreign correspondent banking account; cryptocurrency exchange services; anonymous electronic money products; products allowing for third-party funding.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Delivery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Account opened in-person at a physical branch with original identity documents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Account opened remotely through a digital channel with robust, multi-layered identity verification technology compliant with FINTRAC guidance; customer introduced by a trusted and regulated financial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Anonymous online account opening with weak identity controls; use of third-party payment processors with opaque AML standards; reliance on unregulated foreign introducers or agents.</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Operational Impact: Translating Risk Assessment into Action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meticulously conducted AML risk assessment is of little value if its findings are not translated into concrete, operational controls. The assessment serves as the strategic "brain" of the compliance program, directing the day-to-day "muscles"—the policies, procedures, and systems that actively prevent and detect financial crime. This section details how the outputs of the risk assessment are operationalized to shape Client Identification and Due Diligence protocols, transaction monitoring rules, investigative priorities, and employee training, all in line with FINTRAC's expectations.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Informing Client Due Diligence: Calibrating CDD and EDD Protocols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and significant impact of the risk assessment is on the level of due diligence applied to each customer. The customer's risk rating, derived from the assessment, is the primary determinant of the intensity of scrutiny they will receive throughout their relationship with the bank.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risk-based calibration is the essence of the RBA in practice.</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Low-Risk Customers:</w:t>
      </w:r>
      <w:r w:rsidDel="00000000" w:rsidR="00000000" w:rsidRPr="00000000">
        <w:rPr>
          <w:rFonts w:ascii="Google Sans Text" w:cs="Google Sans Text" w:eastAsia="Google Sans Text" w:hAnsi="Google Sans Text"/>
          <w:color w:val="1b1c1d"/>
          <w:rtl w:val="0"/>
        </w:rPr>
        <w:t xml:space="preserve"> Customers assessed as low-risk are subjected to standard </w:t>
      </w:r>
      <w:r w:rsidDel="00000000" w:rsidR="00000000" w:rsidRPr="00000000">
        <w:rPr>
          <w:rFonts w:ascii="Google Sans Text" w:cs="Google Sans Text" w:eastAsia="Google Sans Text" w:hAnsi="Google Sans Text"/>
          <w:b w:val="1"/>
          <w:color w:val="1b1c1d"/>
          <w:rtl w:val="0"/>
        </w:rPr>
        <w:t xml:space="preserve">Client Due Diligence (CDD)</w:t>
      </w:r>
      <w:r w:rsidDel="00000000" w:rsidR="00000000" w:rsidRPr="00000000">
        <w:rPr>
          <w:rFonts w:ascii="Google Sans Text" w:cs="Google Sans Text" w:eastAsia="Google Sans Text" w:hAnsi="Google Sans Text"/>
          <w:color w:val="1b1c1d"/>
          <w:rtl w:val="0"/>
        </w:rPr>
        <w:t xml:space="preserve">. This involves the baseline measures required by the PCMLTFA, such as verifying the client's identity through reliable documents, but does not require extensive investigation into their background or transaction patterns.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Standard-Risk Customers:</w:t>
      </w:r>
      <w:r w:rsidDel="00000000" w:rsidR="00000000" w:rsidRPr="00000000">
        <w:rPr>
          <w:rFonts w:ascii="Google Sans Text" w:cs="Google Sans Text" w:eastAsia="Google Sans Text" w:hAnsi="Google Sans Text"/>
          <w:color w:val="1b1c1d"/>
          <w:rtl w:val="0"/>
        </w:rPr>
        <w:t xml:space="preserve"> The majority of customers will typically fall into a standard or medium-risk category. They undergo standard </w:t>
      </w:r>
      <w:r w:rsidDel="00000000" w:rsidR="00000000" w:rsidRPr="00000000">
        <w:rPr>
          <w:rFonts w:ascii="Google Sans Text" w:cs="Google Sans Text" w:eastAsia="Google Sans Text" w:hAnsi="Google Sans Text"/>
          <w:b w:val="1"/>
          <w:color w:val="1b1c1d"/>
          <w:rtl w:val="0"/>
        </w:rPr>
        <w:t xml:space="preserve">Client Due Diligence (CDD)</w:t>
      </w:r>
      <w:r w:rsidDel="00000000" w:rsidR="00000000" w:rsidRPr="00000000">
        <w:rPr>
          <w:rFonts w:ascii="Google Sans Text" w:cs="Google Sans Text" w:eastAsia="Google Sans Text" w:hAnsi="Google Sans Text"/>
          <w:color w:val="1b1c1d"/>
          <w:rtl w:val="0"/>
        </w:rPr>
        <w:t xml:space="preserve">, which includes identity verification and developing an understanding of the nature and intended purpose of the business relationship. This forms the baseline customer profile against which future activity will be monitored.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High-Risk Customers:</w:t>
      </w:r>
      <w:r w:rsidDel="00000000" w:rsidR="00000000" w:rsidRPr="00000000">
        <w:rPr>
          <w:rFonts w:ascii="Google Sans Text" w:cs="Google Sans Text" w:eastAsia="Google Sans Text" w:hAnsi="Google Sans Text"/>
          <w:color w:val="1b1c1d"/>
          <w:rtl w:val="0"/>
        </w:rPr>
        <w:t xml:space="preserve"> Any customer identified as high-risk must be subjected to </w:t>
      </w:r>
      <w:r w:rsidDel="00000000" w:rsidR="00000000" w:rsidRPr="00000000">
        <w:rPr>
          <w:rFonts w:ascii="Google Sans Text" w:cs="Google Sans Text" w:eastAsia="Google Sans Text" w:hAnsi="Google Sans Text"/>
          <w:b w:val="1"/>
          <w:color w:val="1b1c1d"/>
          <w:rtl w:val="0"/>
        </w:rPr>
        <w:t xml:space="preserve">Enhanced Due Diligence (EDD)</w:t>
      </w:r>
      <w:r w:rsidDel="00000000" w:rsidR="00000000" w:rsidRPr="00000000">
        <w:rPr>
          <w:rFonts w:ascii="Google Sans Text" w:cs="Google Sans Text" w:eastAsia="Google Sans Text" w:hAnsi="Google Sans Text"/>
          <w:color w:val="1b1c1d"/>
          <w:rtl w:val="0"/>
        </w:rPr>
        <w:t xml:space="preserve">. EDD is a set of more intrusive, comprehensive, and ongoing measures designed to provide a deeper understanding of the customer and mitigate the elevated risk they present. Under the PCMLTFA, EDD measures must include, but are not limited to:</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Obtaining additional information on the customer and their ultimate beneficial owners.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Conducting a more thorough verification of the customer's stated source of wealth and source of funds.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Performing searches of public records and commercial databases, including adverse media screening, to identify any derogatory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Obtaining senior management approval to onboard or maintain the high-risk relationship.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Conducting more frequent and intensive ongoing monitoring of the account's activity.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Shaping Transaction Monitoring: Designing Scenarios, Rules, and Thresholds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institutional risk assessment is critical for calibrating the bank's automated transaction monitoring systems.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generic, "out-of-the-box" monitoring system with default rules is regulatorily insufficient. The scenarios, rules, and thresholds used to detect potentially suspicious activity must be tailored to the bank's specific risk profile as identified in its assessment.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risk-based tuning works in several ways:</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Customer-Specific Rules:</w:t>
      </w:r>
      <w:r w:rsidDel="00000000" w:rsidR="00000000" w:rsidRPr="00000000">
        <w:rPr>
          <w:rFonts w:ascii="Google Sans Text" w:cs="Google Sans Text" w:eastAsia="Google Sans Text" w:hAnsi="Google Sans Text"/>
          <w:color w:val="1b1c1d"/>
          <w:rtl w:val="0"/>
        </w:rPr>
        <w:t xml:space="preserve"> For customers or customer segments rated as high-risk, the monitoring system can be configured with lower transaction thresholds and more sensitive detection scenarios. For example, while a standard customer might have a rule that flags cash deposits over C8,000,ahigh−riskcash−intensivebusinessmighthaveitsthresholdsetatC3,000. A rule could be created to flag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wire transfer involving a PEP's account, regardless of the amount.</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and Geography-Specific Rules:</w:t>
      </w:r>
      <w:r w:rsidDel="00000000" w:rsidR="00000000" w:rsidRPr="00000000">
        <w:rPr>
          <w:rFonts w:ascii="Google Sans Text" w:cs="Google Sans Text" w:eastAsia="Google Sans Text" w:hAnsi="Google Sans Text"/>
          <w:color w:val="1b1c1d"/>
          <w:rtl w:val="0"/>
        </w:rPr>
        <w:t xml:space="preserve"> The system can be programmed with rules specific to high-risk products or geographies. For instance, a rule might be implemented to flag all outgoing electronic funds transfers to a jurisdiction on the FATF's grey list for manual review, or to scrutinize all transactions involving a virtual currency exchange.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Efficiency and Focus:</w:t>
      </w:r>
      <w:r w:rsidDel="00000000" w:rsidR="00000000" w:rsidRPr="00000000">
        <w:rPr>
          <w:rFonts w:ascii="Google Sans Text" w:cs="Google Sans Text" w:eastAsia="Google Sans Text" w:hAnsi="Google Sans Text"/>
          <w:color w:val="1b1c1d"/>
          <w:rtl w:val="0"/>
        </w:rPr>
        <w:t xml:space="preserve"> By tailoring the monitoring rules to actual risks, the bank can significantly reduce the volume of low-value "false positive" alerts. This allows its limited pool of human investigators to focus their time and expertise on analyzing the alerts that represent the greatest potential risk of illicit activity, thereby increasing the overall effectiveness of the AML program.</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Guiding Suspicious Transaction Reporting (STR) and Investigations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customer risk profile provides essential context for compliance analysts and investigators when they review an alert generated by the transaction monitoring system. An unusual transaction for a customer with a well-established history and a low-risk profile might be quickly and reasonably explained. However, the exact same transaction occurring in the account of a high-risk customer—for example, a non-resident client with business interests in a high-risk jurisdiction—would immediately elevate suspicion. This context allows investigators to prioritize their caseload and conduct more focused, risk-informed investigations. Once "reasonable grounds to suspect" (RGS) an ML/TF offence has been established, the bank is legally required to submit a Suspicious Transaction Report (STR) to FINTRAC as soon as practicable.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Developing Targeted and Role-Specific Employee Training Programs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effective AML training program must be informed by the findings of the risk assessment. The assessment identifies the areas of greatest ML/TF vulnerability for the bank, and these areas should become priorities for training content and delivery. A generic, one-size-fits-all annual training module is insufficient. Under the PCMLTFA, reporting entities must develop and maintain a written, ongoing compliance training program.</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training should be tailored to the specific roles and responsibilities of employees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Frontline Staff</w:t>
      </w:r>
      <w:r w:rsidDel="00000000" w:rsidR="00000000" w:rsidRPr="00000000">
        <w:rPr>
          <w:rFonts w:ascii="Google Sans Text" w:cs="Google Sans Text" w:eastAsia="Google Sans Text" w:hAnsi="Google Sans Text"/>
          <w:color w:val="1b1c1d"/>
          <w:rtl w:val="0"/>
        </w:rPr>
        <w:t xml:space="preserve"> (e.g., tellers, relationship managers) in a branch located in a high-risk geographic area need specific training on local money laundering typologies and red flags.</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Bankers</w:t>
      </w:r>
      <w:r w:rsidDel="00000000" w:rsidR="00000000" w:rsidRPr="00000000">
        <w:rPr>
          <w:rFonts w:ascii="Google Sans Text" w:cs="Google Sans Text" w:eastAsia="Google Sans Text" w:hAnsi="Google Sans Text"/>
          <w:color w:val="1b1c1d"/>
          <w:rtl w:val="0"/>
        </w:rPr>
        <w:t xml:space="preserve"> require in-depth, specialized training on the complexities of verifying a PEP's source of wealth and navigating complex offshore structures.</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Operations and IT Staff</w:t>
      </w:r>
      <w:r w:rsidDel="00000000" w:rsidR="00000000" w:rsidRPr="00000000">
        <w:rPr>
          <w:rFonts w:ascii="Google Sans Text" w:cs="Google Sans Text" w:eastAsia="Google Sans Text" w:hAnsi="Google Sans Text"/>
          <w:color w:val="1b1c1d"/>
          <w:rtl w:val="0"/>
        </w:rPr>
        <w:t xml:space="preserve"> need training on the risks associated with new payment technologies and their role in maintaining the integrity of the bank's monitoring systems.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effective training programs use real-world case studies and examples, often derived from the bank's own risk assessment and FINTRAC's published typologies, to make the risks tangible and the required control measures understandable and relevant to employees' daily duties.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operationalization of the risk assessment creates a powerful feedback loop that continuously refines the entire AML program. This is not a simple, one-way street where the "assessment dictates controls." Rather, the performance and output of the controls provide a rich source of new data that must be fed back to refine the next iteration of the risk assessment. The process begins with the risk assessment setting the initial rules for CDD and transaction monitoring.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monitoring system then generates alerts based on these rules, which are analyzed by investigators.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outcomes of these investigations—specifically, the ratio of productive alerts that lead to STR filings versus the number of non-productive false positives—are a critical performance metric. If a monitoring rule designed for a product initially deemed "high-risk" consistently generates zero productive alerts over a year, it strongly suggests that the inherent risk of that product was overestimated in the assessment.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Conversely, if the bank finds itself filing multiple STRs on customers who were initially rated as "low-risk," it indicates a fundamental failure in the customer risk rating methodology.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operational data—alert-to-STR conversion rates, STR filing trends, CDD exceptions, and audit findings—is invaluable intelligence. It must be systematically collected and fed back into the next risk assessment cycle.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self-correcting, learning system where the risk assessment becomes progressively more accurate and the controls become more efficient and effective over time. A mature AML program is not a static set of procedures but an adaptive ecosystem where risk intelligence and operational reality are in constant, reinforcing dialogue.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Governance, Best Practices, and Implementation Challenges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and maintenance of an AML risk assessment framework is not solely a technical exercise for the compliance department. It requires robust governance, strategic commitment from the highest levels of the institution, adherence to best practices, and a clear-eyed understanding of the common pitfalls that can undermine its effectiveness.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Role of the Board and Senior Management in Oversight and Strategy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governance is the bedrock of a resilient AML program. The Board of Directors and senior executive management are ultimately responsible for the institution's compliance and must provide active and engaged oversight of the risk assessment process.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In Canada, this oversight must satisfy the expectations of both FINTRAC, which focuses on PCMLTFA compliance, and OSFI, which assesses the adequacy of policies and procedures to protect against threats to the institution's integrity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Their responsibilities are manifold:</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Approval and Ownership:</w:t>
      </w:r>
      <w:r w:rsidDel="00000000" w:rsidR="00000000" w:rsidRPr="00000000">
        <w:rPr>
          <w:rFonts w:ascii="Google Sans Text" w:cs="Google Sans Text" w:eastAsia="Google Sans Text" w:hAnsi="Google Sans Text"/>
          <w:color w:val="1b1c1d"/>
          <w:rtl w:val="0"/>
        </w:rPr>
        <w:t xml:space="preserve"> They must review and formally approve the risk assessment methodology, the key findings of the assessment, and the institution's overall risk appetite statement, which defines the level of ML/TF risk the bank is willing to tolerate.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Allocation:</w:t>
      </w:r>
      <w:r w:rsidDel="00000000" w:rsidR="00000000" w:rsidRPr="00000000">
        <w:rPr>
          <w:rFonts w:ascii="Google Sans Text" w:cs="Google Sans Text" w:eastAsia="Google Sans Text" w:hAnsi="Google Sans Text"/>
          <w:color w:val="1b1c1d"/>
          <w:rtl w:val="0"/>
        </w:rPr>
        <w:t xml:space="preserve"> They are responsible for ensuring that the compliance function is adequately resourced—in terms of budget, technology, and skilled personnel—to effectively manage the risks identified in the assessment.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Decision-Making:</w:t>
      </w:r>
      <w:r w:rsidDel="00000000" w:rsidR="00000000" w:rsidRPr="00000000">
        <w:rPr>
          <w:rFonts w:ascii="Google Sans Text" w:cs="Google Sans Text" w:eastAsia="Google Sans Text" w:hAnsi="Google Sans Text"/>
          <w:color w:val="1b1c1d"/>
          <w:rtl w:val="0"/>
        </w:rPr>
        <w:t xml:space="preserve"> The risk assessment and key compliance metrics (e.g., STR volumes, number of high-risk accounts) should be presented to the board and relevant committees on a regular basis. This enables them to make informed, strategic decisions about operating in higher-risk segments and allocating resources for advanced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Best Practices for an Effective, Enterprise-Wide Risk Assessment Framework</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elevate a risk assessment from a merely compliant exercise to a truly resilient and effective framework, institutions should incorporate several best practices:</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Enterprise-Wide Integration:</w:t>
      </w:r>
      <w:r w:rsidDel="00000000" w:rsidR="00000000" w:rsidRPr="00000000">
        <w:rPr>
          <w:rFonts w:ascii="Google Sans Text" w:cs="Google Sans Text" w:eastAsia="Google Sans Text" w:hAnsi="Google Sans Text"/>
          <w:color w:val="1b1c1d"/>
          <w:rtl w:val="0"/>
        </w:rPr>
        <w:t xml:space="preserve"> The assessment must break free from departmental silos. It requires a holistic, enterprise-wide approach that consolidates data and solicits input from all relevant stakeholders, including compliance, legal, operations, IT, and front-line business units. This cross-functional collaboration ensures all relevant insights and risk perspectives are considered.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Data-Driven Approach:</w:t>
      </w:r>
      <w:r w:rsidDel="00000000" w:rsidR="00000000" w:rsidRPr="00000000">
        <w:rPr>
          <w:rFonts w:ascii="Google Sans Text" w:cs="Google Sans Text" w:eastAsia="Google Sans Text" w:hAnsi="Google Sans Text"/>
          <w:color w:val="1b1c1d"/>
          <w:rtl w:val="0"/>
        </w:rPr>
        <w:t xml:space="preserve"> Leading institutions leverage technology and advanced data analytics to enhance risk detection, quantify exposures more accurately, and streamline the assessment process. FINTRAC expects reporting entities to customize automated AML tools to suit their unique business models.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Frequent Updates and Dynamic Monitoring:</w:t>
      </w:r>
      <w:r w:rsidDel="00000000" w:rsidR="00000000" w:rsidRPr="00000000">
        <w:rPr>
          <w:rFonts w:ascii="Google Sans Text" w:cs="Google Sans Text" w:eastAsia="Google Sans Text" w:hAnsi="Google Sans Text"/>
          <w:color w:val="1b1c1d"/>
          <w:rtl w:val="0"/>
        </w:rPr>
        <w:t xml:space="preserve"> The assessment must be a dynamic process. In addition to the mandatory biennial review, it should be updated in response to specific trigger events.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institution must also continuously monitor for new regulatory bulletins and guidance from FINTRAC and OSFI, and update its risk models accordingly.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Clear Documentation and Transparency:</w:t>
      </w:r>
      <w:r w:rsidDel="00000000" w:rsidR="00000000" w:rsidRPr="00000000">
        <w:rPr>
          <w:rFonts w:ascii="Google Sans Text" w:cs="Google Sans Text" w:eastAsia="Google Sans Text" w:hAnsi="Google Sans Text"/>
          <w:color w:val="1b1c1d"/>
          <w:rtl w:val="0"/>
        </w:rPr>
        <w:t xml:space="preserve"> The methodology used for risk scoring, the evaluation of control effectiveness, and the calculation of residual risk must be meticulously documented. This creates a clear and defensible audit trail that demonstrates institutional rigor and transparency to regulators and auditors.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Common Pitfalls and Failures: Avoiding Silos, Stale Assessments, and Inaction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clear regulatory guidance, many institutions struggle to implement their risk assessment frameworks effectively. Recent multi-million dollar penalties against major Canadian banks underscore these challenges.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Common failures often fall into several categories:</w:t>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Siloed Assessments:</w:t>
      </w:r>
      <w:r w:rsidDel="00000000" w:rsidR="00000000" w:rsidRPr="00000000">
        <w:rPr>
          <w:rFonts w:ascii="Google Sans Text" w:cs="Google Sans Text" w:eastAsia="Google Sans Text" w:hAnsi="Google Sans Text"/>
          <w:color w:val="1b1c1d"/>
          <w:rtl w:val="0"/>
        </w:rPr>
        <w:t xml:space="preserve"> A frequent and critical failure is the practice of assessing customer, product, and geographic risks in isolation. This approach fails to recognize and measure the compounded risk that arises when multiple high-risk factors converge—for example, a high-risk customer (a PEP) using a high-risk product (private banking) to conduct transactions involving a high-risk jurisdiction.</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Outdated and Irrelevant Information:</w:t>
      </w:r>
      <w:r w:rsidDel="00000000" w:rsidR="00000000" w:rsidRPr="00000000">
        <w:rPr>
          <w:rFonts w:ascii="Google Sans Text" w:cs="Google Sans Text" w:eastAsia="Google Sans Text" w:hAnsi="Google Sans Text"/>
          <w:color w:val="1b1c1d"/>
          <w:rtl w:val="0"/>
        </w:rPr>
        <w:t xml:space="preserve"> A risk assessment that relies on stale data or is not updated in response to new ML/TF typologies, evolving sanctions lists, or changes in country risk ratings becomes irrelevant and ineffective. A flawed or outdated assessment can be as dangerous as having no assessment at all.</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Specificity:</w:t>
      </w:r>
      <w:r w:rsidDel="00000000" w:rsidR="00000000" w:rsidRPr="00000000">
        <w:rPr>
          <w:rFonts w:ascii="Google Sans Text" w:cs="Google Sans Text" w:eastAsia="Google Sans Text" w:hAnsi="Google Sans Text"/>
          <w:color w:val="1b1c1d"/>
          <w:rtl w:val="0"/>
        </w:rPr>
        <w:t xml:space="preserve"> Using overly broad and generic risk categories like "high risk" without defining the specific nature of that risk (e.g., risk of corruption vs. risk of commingling illicit cash) leads to generic and ineffective control measures. The controls needed to mitigate the risks of a PEP are very different from those needed for a high-turnover cash business.</w:t>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Failure to Act:</w:t>
      </w:r>
      <w:r w:rsidDel="00000000" w:rsidR="00000000" w:rsidRPr="00000000">
        <w:rPr>
          <w:rFonts w:ascii="Google Sans Text" w:cs="Google Sans Text" w:eastAsia="Google Sans Text" w:hAnsi="Google Sans Text"/>
          <w:color w:val="1b1c1d"/>
          <w:rtl w:val="0"/>
        </w:rPr>
        <w:t xml:space="preserve"> Perhaps the most critical failure is conducting a detailed risk assessment and then failing to use its findings to drive meaningful changes in the bank's controls. An assessment that identifies a significant risk gap but leads to no corrective action—such as failing to take prescribed special measures for high-risk clients—is a documented failure of the AML program and a clear signal of a weak compliance culture, a violation for which FINTRAC has recently penalized Canadian banks.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Technological and Data Challenges:</w:t>
      </w:r>
      <w:r w:rsidDel="00000000" w:rsidR="00000000" w:rsidRPr="00000000">
        <w:rPr>
          <w:rFonts w:ascii="Google Sans Text" w:cs="Google Sans Text" w:eastAsia="Google Sans Text" w:hAnsi="Google Sans Text"/>
          <w:color w:val="1b1c1d"/>
          <w:rtl w:val="0"/>
        </w:rPr>
        <w:t xml:space="preserve"> Many institutions are hampered by significant operational hurdles. These include poor data quality, the difficulty of integrating modern compliance technology with legacy core banking systems, and the sheer challenge of managing and analyzing vast volumes of customer and transaction data.</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greatest challenge in implementing an effective risk assessment framework is often not technical, but cultural. While best practices like data integration and board engagement are well-documented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persistence of failures like siloed assessments and inaction points to deeper, organizational root causes. Business lines, such as wealth management or commercial lending, are primarily incentivized by revenue generation and may view compliance controls as an impediment. IT departments manage the data infrastructure but may not fully grasp its risk implications. The compliance department writes the policies but may lack the institutional authority to enforce them rigorously across powerful business units. A successful risk assessment requires these disparate groups to engage in deep and continuous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business lines must provide accurate and timely data on their customers and products. IT must build the architecture to consolidate and analyze that data. Compliance must provide the risk methodology and oversight. Critically, all stakeholders must agree on the final risk ratings and the necessity of the corresponding controls. This level of cross-functional cooperation represents a significant cultural shift for many organizations. It can only be achieved through a strong and unambiguous "tone from the top," where the Board of Directors and the CEO consistently champion the principle that risk management is an enterprise-wide responsibility, not just the job of the compliance department.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 bank's ability to execute a technically sound risk assessment is, therefore, a direct reflection of its organizational maturity and its success in fostering a genuine culture of compliance that transcends departmental boundaries. Without this cultural foundation, even the most sophisticated methodology is destined to fail in practice.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Recommendations for Building a Resilient and Dynamic AML Risk Assessment Program</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comprehensive analysis of Canadian regulatory expectations, methodological components, and practical challenges, the following recommendations can guide a financial institution in building a truly resilient and dynamic AML risk assessment program:</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Strong, Engaged Governance:</w:t>
      </w:r>
      <w:r w:rsidDel="00000000" w:rsidR="00000000" w:rsidRPr="00000000">
        <w:rPr>
          <w:rFonts w:ascii="Google Sans Text" w:cs="Google Sans Text" w:eastAsia="Google Sans Text" w:hAnsi="Google Sans Text"/>
          <w:color w:val="1b1c1d"/>
          <w:rtl w:val="0"/>
        </w:rPr>
        <w:t xml:space="preserve"> Secure explicit ownership and accountability from the Board of Directors and senior management. Ensure the risk assessment process, its findings, and the institution's residual risk profile are regular, substantive agenda items for board-level risk committees, satisfying both FINTRAC and OSFI oversight requirements.</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Invest in Integrated Technology and Data Analytics:</w:t>
      </w:r>
      <w:r w:rsidDel="00000000" w:rsidR="00000000" w:rsidRPr="00000000">
        <w:rPr>
          <w:rFonts w:ascii="Google Sans Text" w:cs="Google Sans Text" w:eastAsia="Google Sans Text" w:hAnsi="Google Sans Text"/>
          <w:color w:val="1b1c1d"/>
          <w:rtl w:val="0"/>
        </w:rPr>
        <w:t xml:space="preserve"> Move beyond manual, spreadsheet-based assessments. Invest in technology that can create a unified risk assessment architecture, aggregating data from KYC systems, transaction logs, and external watchlists. Leverage data analytics to quantify risks more accurately and identify emerging trends, ensuring systems are customized to the bank's specific risk profile.</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Foster a Culture of Cross-Functional Collaboration:</w:t>
      </w:r>
      <w:r w:rsidDel="00000000" w:rsidR="00000000" w:rsidRPr="00000000">
        <w:rPr>
          <w:rFonts w:ascii="Google Sans Text" w:cs="Google Sans Text" w:eastAsia="Google Sans Text" w:hAnsi="Google Sans Text"/>
          <w:color w:val="1b1c1d"/>
          <w:rtl w:val="0"/>
        </w:rPr>
        <w:t xml:space="preserve"> Break down internal silos by establishing a formal, cross-functional risk committee with empowered representatives from every key business line, operations, IT, and compliance. This committee should be responsible for providing input to, reviewing, and challenging the risk assessment.</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 to a Dynamic, Continuous Process:</w:t>
      </w:r>
      <w:r w:rsidDel="00000000" w:rsidR="00000000" w:rsidRPr="00000000">
        <w:rPr>
          <w:rFonts w:ascii="Google Sans Text" w:cs="Google Sans Text" w:eastAsia="Google Sans Text" w:hAnsi="Google Sans Text"/>
          <w:color w:val="1b1c1d"/>
          <w:rtl w:val="0"/>
        </w:rPr>
        <w:t xml:space="preserve"> Embed the risk assessment into the fabric of the institution's strategic and operational planning. Implement clear triggers for ad-hoc reviews (e.g., new product launches) and ensure the feedback loop from control performance (e.g., STR metrics) is formalized to inform subsequent assessments, including the mandatory biennial effectiveness review.</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Actionable Outcomes and Transparent Documentation:</w:t>
      </w:r>
      <w:r w:rsidDel="00000000" w:rsidR="00000000" w:rsidRPr="00000000">
        <w:rPr>
          <w:rFonts w:ascii="Google Sans Text" w:cs="Google Sans Text" w:eastAsia="Google Sans Text" w:hAnsi="Google Sans Text"/>
          <w:color w:val="1b1c1d"/>
          <w:rtl w:val="0"/>
        </w:rPr>
        <w:t xml:space="preserve"> The risk assessment must conclude with a clear action plan to address identified control gaps, with assigned owners and timelines. The entire process—from methodology to control testing to residual risk acceptance—must be meticulously documented to create a clear and defensible record for regulators, auditors, and the board.</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 AML/KYC Compliance: Rules, Regulations and Penalties - Signzy, accessed August 25, 2025, </w:t>
      </w:r>
      <w:hyperlink r:id="rId6">
        <w:r w:rsidDel="00000000" w:rsidR="00000000" w:rsidRPr="00000000">
          <w:rPr>
            <w:rFonts w:ascii="Google Sans" w:cs="Google Sans" w:eastAsia="Google Sans" w:hAnsi="Google Sans"/>
            <w:color w:val="0000ee"/>
            <w:sz w:val="24"/>
            <w:szCs w:val="24"/>
            <w:u w:val="single"/>
            <w:rtl w:val="0"/>
          </w:rPr>
          <w:t xml:space="preserve">https://www.signzy.com/blogs/canadas-aml-kyc-compliance-rules-regulations-and-penalties</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PCMLTFA Compliance in Canada - Arctic Intelligence, accessed August 25, 2025, </w:t>
      </w:r>
      <w:hyperlink r:id="rId7">
        <w:r w:rsidDel="00000000" w:rsidR="00000000" w:rsidRPr="00000000">
          <w:rPr>
            <w:rFonts w:ascii="Google Sans" w:cs="Google Sans" w:eastAsia="Google Sans" w:hAnsi="Google Sans"/>
            <w:color w:val="0000ee"/>
            <w:sz w:val="24"/>
            <w:szCs w:val="24"/>
            <w:u w:val="single"/>
            <w:rtl w:val="0"/>
          </w:rPr>
          <w:t xml:space="preserve">https://arctic-intelligence.com/countries/compliance-canada</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Anti-Money Laundering Compliance Guidance | Canadian Investment Regulatory Organization - CIRO, accessed August 25, 2025, </w:t>
      </w:r>
      <w:hyperlink r:id="rId8">
        <w:r w:rsidDel="00000000" w:rsidR="00000000" w:rsidRPr="00000000">
          <w:rPr>
            <w:rFonts w:ascii="Google Sans" w:cs="Google Sans" w:eastAsia="Google Sans" w:hAnsi="Google Sans"/>
            <w:color w:val="0000ee"/>
            <w:sz w:val="24"/>
            <w:szCs w:val="24"/>
            <w:u w:val="single"/>
            <w:rtl w:val="0"/>
          </w:rPr>
          <w:t xml:space="preserve">https://www.ciro.ca/newsroom/publications/anti-money-laundering-compliance-guidance-0</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Comply with Canada's AML Requirements - ComplyAdvantage, accessed August 25, 2025, </w:t>
      </w:r>
      <w:hyperlink r:id="rId9">
        <w:r w:rsidDel="00000000" w:rsidR="00000000" w:rsidRPr="00000000">
          <w:rPr>
            <w:rFonts w:ascii="Google Sans" w:cs="Google Sans" w:eastAsia="Google Sans" w:hAnsi="Google Sans"/>
            <w:color w:val="0000ee"/>
            <w:sz w:val="24"/>
            <w:szCs w:val="24"/>
            <w:u w:val="single"/>
            <w:rtl w:val="0"/>
          </w:rPr>
          <w:t xml:space="preserve">https://complyadvantage.com/insights/how-to-comply-aml-kyc-requirements-canada/</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on the Risk-Based Approach to Combatting Money ..., accessed August 25, 2025, </w:t>
      </w:r>
      <w:hyperlink r:id="rId10">
        <w:r w:rsidDel="00000000" w:rsidR="00000000" w:rsidRPr="00000000">
          <w:rPr>
            <w:rFonts w:ascii="Google Sans" w:cs="Google Sans" w:eastAsia="Google Sans" w:hAnsi="Google Sans"/>
            <w:color w:val="0000ee"/>
            <w:sz w:val="24"/>
            <w:szCs w:val="24"/>
            <w:u w:val="single"/>
            <w:rtl w:val="0"/>
          </w:rPr>
          <w:t xml:space="preserve">https://publications.gc.ca/collections/collection_2017/canafe-fintrac/FD4-6-2016-eng.pdf</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how OSFI and FINTRAC work together - Office of the ..., accessed August 25, 2025, </w:t>
      </w:r>
      <w:hyperlink r:id="rId11">
        <w:r w:rsidDel="00000000" w:rsidR="00000000" w:rsidRPr="00000000">
          <w:rPr>
            <w:rFonts w:ascii="Google Sans" w:cs="Google Sans" w:eastAsia="Google Sans" w:hAnsi="Google Sans"/>
            <w:color w:val="0000ee"/>
            <w:sz w:val="24"/>
            <w:szCs w:val="24"/>
            <w:u w:val="single"/>
            <w:rtl w:val="0"/>
          </w:rPr>
          <w:t xml:space="preserve">https://www.osfi-bsif.gc.ca/en/about-osfi/osfi-knowledge-centre/learn-about-osfi-fintrac-work-together</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the new landscape of anti-money laundering risk assessment in financial institutions | MNP, accessed August 25, 2025, </w:t>
      </w:r>
      <w:hyperlink r:id="rId12">
        <w:r w:rsidDel="00000000" w:rsidR="00000000" w:rsidRPr="00000000">
          <w:rPr>
            <w:rFonts w:ascii="Google Sans" w:cs="Google Sans" w:eastAsia="Google Sans" w:hAnsi="Google Sans"/>
            <w:color w:val="0000ee"/>
            <w:sz w:val="24"/>
            <w:szCs w:val="24"/>
            <w:u w:val="single"/>
            <w:rtl w:val="0"/>
          </w:rPr>
          <w:t xml:space="preserve">https://www.mnp.ca/en/insights/directory/managing-the-new-landscape-of-aml-risk-assessment-in-financial-institutions</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FINTRAC requirements for banks in Canada? - Lexpert, accessed August 25, 2025, </w:t>
      </w:r>
      <w:hyperlink r:id="rId13">
        <w:r w:rsidDel="00000000" w:rsidR="00000000" w:rsidRPr="00000000">
          <w:rPr>
            <w:rFonts w:ascii="Google Sans" w:cs="Google Sans" w:eastAsia="Google Sans" w:hAnsi="Google Sans"/>
            <w:color w:val="0000ee"/>
            <w:sz w:val="24"/>
            <w:szCs w:val="24"/>
            <w:u w:val="single"/>
            <w:rtl w:val="0"/>
          </w:rPr>
          <w:t xml:space="preserve">https://www.lexpert.ca/news/legal-faq/what-are-the-fintrac-requirements-for-banks-in-canada/392988</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notice of administrative monetary penalties - canafe - Canada.ca, accessed August 25, 2025, </w:t>
      </w:r>
      <w:hyperlink r:id="rId14">
        <w:r w:rsidDel="00000000" w:rsidR="00000000" w:rsidRPr="00000000">
          <w:rPr>
            <w:rFonts w:ascii="Google Sans" w:cs="Google Sans" w:eastAsia="Google Sans" w:hAnsi="Google Sans"/>
            <w:color w:val="0000ee"/>
            <w:sz w:val="24"/>
            <w:szCs w:val="24"/>
            <w:u w:val="single"/>
            <w:rtl w:val="0"/>
          </w:rPr>
          <w:t xml:space="preserve">https://fintrac-canafe.canada.ca/pen/4-eng</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imposes an administrative monetary penalty on The Toronto-Dominion Bank, accessed August 25, 2025, </w:t>
      </w:r>
      <w:hyperlink r:id="rId15">
        <w:r w:rsidDel="00000000" w:rsidR="00000000" w:rsidRPr="00000000">
          <w:rPr>
            <w:rFonts w:ascii="Google Sans" w:cs="Google Sans" w:eastAsia="Google Sans" w:hAnsi="Google Sans"/>
            <w:color w:val="0000ee"/>
            <w:sz w:val="24"/>
            <w:szCs w:val="24"/>
            <w:u w:val="single"/>
            <w:rtl w:val="0"/>
          </w:rPr>
          <w:t xml:space="preserve">https://fintrac-canafe.canada.ca/new-neuf/nr/2024-05-02-eng</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Suspicious Transaction Reporting in Canada: Quality, Thresholds, and Common Pitfalls - Canadian Financial Crime Academy, accessed August 25, 2025, </w:t>
      </w:r>
      <w:hyperlink r:id="rId16">
        <w:r w:rsidDel="00000000" w:rsidR="00000000" w:rsidRPr="00000000">
          <w:rPr>
            <w:rFonts w:ascii="Google Sans" w:cs="Google Sans" w:eastAsia="Google Sans" w:hAnsi="Google Sans"/>
            <w:color w:val="0000ee"/>
            <w:sz w:val="24"/>
            <w:szCs w:val="24"/>
            <w:u w:val="single"/>
            <w:rtl w:val="0"/>
          </w:rPr>
          <w:t xml:space="preserve">https://www.canadianfinancialcrimeacademy.ca/financial-crime-articles/suspicious-transaction-reporting-in-canada-quality-thresholds-and-common-pitfalls</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RISK-BASED APPROACH GUIDANCE FOR THE BANKING SECTOR - FATF, accessed August 25, 2025, </w:t>
      </w:r>
      <w:hyperlink r:id="rId17">
        <w:r w:rsidDel="00000000" w:rsidR="00000000" w:rsidRPr="00000000">
          <w:rPr>
            <w:rFonts w:ascii="Google Sans" w:cs="Google Sans" w:eastAsia="Google Sans" w:hAnsi="Google Sans"/>
            <w:color w:val="0000ee"/>
            <w:sz w:val="24"/>
            <w:szCs w:val="24"/>
            <w:u w:val="single"/>
            <w:rtl w:val="0"/>
          </w:rPr>
          <w:t xml:space="preserve">https://www.fatf-gafi.org/content/dam/fatf-gafi/guidance/Risk-Based-Approach-Banking-Sector.pdf</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Guidance on Risk-Based Approach to Combatting Money Laundering and Terrorist Financing | Canada Commons, accessed August 25, 2025, </w:t>
      </w:r>
      <w:hyperlink r:id="rId18">
        <w:r w:rsidDel="00000000" w:rsidR="00000000" w:rsidRPr="00000000">
          <w:rPr>
            <w:rFonts w:ascii="Google Sans" w:cs="Google Sans" w:eastAsia="Google Sans" w:hAnsi="Google Sans"/>
            <w:color w:val="0000ee"/>
            <w:sz w:val="24"/>
            <w:szCs w:val="24"/>
            <w:u w:val="single"/>
            <w:rtl w:val="0"/>
          </w:rPr>
          <w:t xml:space="preserve">https://canadacommons.ca/artifacts/1195803/guidance-on-the-risk-based-approach-to-combatting-money-laundering-and-terrorist-financing/1748927/</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AML/CFT Compliance Guidelines For Canada, accessed August 25, 2025, </w:t>
      </w:r>
      <w:hyperlink r:id="rId19">
        <w:r w:rsidDel="00000000" w:rsidR="00000000" w:rsidRPr="00000000">
          <w:rPr>
            <w:rFonts w:ascii="Google Sans" w:cs="Google Sans" w:eastAsia="Google Sans" w:hAnsi="Google Sans"/>
            <w:color w:val="0000ee"/>
            <w:sz w:val="24"/>
            <w:szCs w:val="24"/>
            <w:u w:val="single"/>
            <w:rtl w:val="0"/>
          </w:rPr>
          <w:t xml:space="preserve">https://amlwatcher.com/our-coverage/canada/</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Risk-Based Approach in AML for Canadian MSBs - Rennoco, accessed August 25, 2025, </w:t>
      </w:r>
      <w:hyperlink r:id="rId20">
        <w:r w:rsidDel="00000000" w:rsidR="00000000" w:rsidRPr="00000000">
          <w:rPr>
            <w:rFonts w:ascii="Google Sans" w:cs="Google Sans" w:eastAsia="Google Sans" w:hAnsi="Google Sans"/>
            <w:color w:val="0000ee"/>
            <w:sz w:val="24"/>
            <w:szCs w:val="24"/>
            <w:u w:val="single"/>
            <w:rtl w:val="0"/>
          </w:rPr>
          <w:t xml:space="preserve">https://www.rennoco.com/blog/risk-based-approach-in-aml</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Deterring and Detecting Money Laundering and Terrorist - Gov.bc.ca, accessed August 25, 2025, </w:t>
      </w:r>
      <w:hyperlink r:id="rId21">
        <w:r w:rsidDel="00000000" w:rsidR="00000000" w:rsidRPr="00000000">
          <w:rPr>
            <w:rFonts w:ascii="Google Sans" w:cs="Google Sans" w:eastAsia="Google Sans" w:hAnsi="Google Sans"/>
            <w:color w:val="0000ee"/>
            <w:sz w:val="24"/>
            <w:szCs w:val="24"/>
            <w:u w:val="single"/>
            <w:rtl w:val="0"/>
          </w:rPr>
          <w:t xml:space="preserve">https://ag-pssg-sharedservices-ex.objectstore.gov.bc.ca/ag-pssg-cc-exh-prod-bkt-ex/416%20-%20Office%20of%20the%20Superintendent%20of%20Financial%20Institutions%20Canada%20guideline%20Deterring%20and%20Detecting%20Money%20Laundering%20and%20Terrorist%20Finance%20no.%20B-8%20dated%20December%202008.pdf</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Integrity, security, and foreign interference - Office of the Superintendent of Financial Institutions, accessed August 25, 2025, </w:t>
      </w:r>
      <w:hyperlink r:id="rId22">
        <w:r w:rsidDel="00000000" w:rsidR="00000000" w:rsidRPr="00000000">
          <w:rPr>
            <w:rFonts w:ascii="Google Sans" w:cs="Google Sans" w:eastAsia="Google Sans" w:hAnsi="Google Sans"/>
            <w:color w:val="0000ee"/>
            <w:sz w:val="24"/>
            <w:szCs w:val="24"/>
            <w:u w:val="single"/>
            <w:rtl w:val="0"/>
          </w:rPr>
          <w:t xml:space="preserve">https://www.osfi-bsif.gc.ca/en/risks/integrity-security-foreign-interference</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assessment guidance - canafe - Canada.ca, accessed August 25, 2025, </w:t>
      </w:r>
      <w:hyperlink r:id="rId23">
        <w:r w:rsidDel="00000000" w:rsidR="00000000" w:rsidRPr="00000000">
          <w:rPr>
            <w:rFonts w:ascii="Google Sans" w:cs="Google Sans" w:eastAsia="Google Sans" w:hAnsi="Google Sans"/>
            <w:color w:val="0000ee"/>
            <w:sz w:val="24"/>
            <w:szCs w:val="24"/>
            <w:u w:val="single"/>
            <w:rtl w:val="0"/>
          </w:rPr>
          <w:t xml:space="preserve">https://fintrac-canafe.canada.ca/guidance-directives/compliance-conformite/rba/rba-eng</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program requirements - canafe - Canada.ca, accessed August 25, 2025, </w:t>
      </w:r>
      <w:hyperlink r:id="rId24">
        <w:r w:rsidDel="00000000" w:rsidR="00000000" w:rsidRPr="00000000">
          <w:rPr>
            <w:rFonts w:ascii="Google Sans" w:cs="Google Sans" w:eastAsia="Google Sans" w:hAnsi="Google Sans"/>
            <w:color w:val="0000ee"/>
            <w:sz w:val="24"/>
            <w:szCs w:val="24"/>
            <w:u w:val="single"/>
            <w:rtl w:val="0"/>
          </w:rPr>
          <w:t xml:space="preserve">https://fintrac-canafe.canada.ca/guidance-directives/compliance-conformite/guide4/4-eng</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Accelerates Amendments to Its Anti-Money Laundering and Anti-Terrorist Financing Regime | Blakes, accessed August 25, 2025, </w:t>
      </w:r>
      <w:hyperlink r:id="rId25">
        <w:r w:rsidDel="00000000" w:rsidR="00000000" w:rsidRPr="00000000">
          <w:rPr>
            <w:rFonts w:ascii="Google Sans" w:cs="Google Sans" w:eastAsia="Google Sans" w:hAnsi="Google Sans"/>
            <w:color w:val="0000ee"/>
            <w:sz w:val="24"/>
            <w:szCs w:val="24"/>
            <w:u w:val="single"/>
            <w:rtl w:val="0"/>
          </w:rPr>
          <w:t xml:space="preserve">https://www.blakes.com/insights/canada-accelerates-amendments-to-its-anti-money-laundering-and-anti-terrorist-financing-regime/</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government fast-tracks changes to Canada's AML regime, accessed August 25, 2025, </w:t>
      </w:r>
      <w:hyperlink r:id="rId26">
        <w:r w:rsidDel="00000000" w:rsidR="00000000" w:rsidRPr="00000000">
          <w:rPr>
            <w:rFonts w:ascii="Google Sans" w:cs="Google Sans" w:eastAsia="Google Sans" w:hAnsi="Google Sans"/>
            <w:color w:val="0000ee"/>
            <w:sz w:val="24"/>
            <w:szCs w:val="24"/>
            <w:u w:val="single"/>
            <w:rtl w:val="0"/>
          </w:rPr>
          <w:t xml:space="preserve">https://www.osler.com/en/insights/updates/federal-government-fast-tracks-changes-canadas-aml-regime/</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crime and sanctions law – 2024 in review and looking ahead | Canada, accessed August 25, 2025, </w:t>
      </w:r>
      <w:hyperlink r:id="rId27">
        <w:r w:rsidDel="00000000" w:rsidR="00000000" w:rsidRPr="00000000">
          <w:rPr>
            <w:rFonts w:ascii="Google Sans" w:cs="Google Sans" w:eastAsia="Google Sans" w:hAnsi="Google Sans"/>
            <w:color w:val="0000ee"/>
            <w:sz w:val="24"/>
            <w:szCs w:val="24"/>
            <w:u w:val="single"/>
            <w:rtl w:val="0"/>
          </w:rPr>
          <w:t xml:space="preserve">https://www.nortonrosefulbright.com/en-ca/knowledge/publications/2ac8a9da/financial-crime-and-sanctions-law-2024-in-review-and-looking-ahead</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 Wait, There's More: Significant Amendments to Canada's Anti-Money Laundering and Anti-Terrorist | Blakes, accessed August 25, 2025, </w:t>
      </w:r>
      <w:hyperlink r:id="rId28">
        <w:r w:rsidDel="00000000" w:rsidR="00000000" w:rsidRPr="00000000">
          <w:rPr>
            <w:rFonts w:ascii="Google Sans" w:cs="Google Sans" w:eastAsia="Google Sans" w:hAnsi="Google Sans"/>
            <w:color w:val="0000ee"/>
            <w:sz w:val="24"/>
            <w:szCs w:val="24"/>
            <w:u w:val="single"/>
            <w:rtl w:val="0"/>
          </w:rPr>
          <w:t xml:space="preserve">https://www.blakes.com/insights/significant-amendments-to-canada-s-anti-money-laundering-and-anti-terrorist-regime/</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FINTRAC's act and regulations - canafe - Canada.ca, accessed August 25, 2025, </w:t>
      </w:r>
      <w:hyperlink r:id="rId29">
        <w:r w:rsidDel="00000000" w:rsidR="00000000" w:rsidRPr="00000000">
          <w:rPr>
            <w:rFonts w:ascii="Google Sans" w:cs="Google Sans" w:eastAsia="Google Sans" w:hAnsi="Google Sans"/>
            <w:color w:val="0000ee"/>
            <w:sz w:val="24"/>
            <w:szCs w:val="24"/>
            <w:u w:val="single"/>
            <w:rtl w:val="0"/>
          </w:rPr>
          <w:t xml:space="preserve">https://fintrac-canafe.canada.ca/act-loi/1-eng</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Amendments to the Proceeds of Crime (Money Laundering) and Terrorist Financing Regulations – New Information Sharing Provisions for Reporting Entities | BCFSA, accessed August 25, 2025, </w:t>
      </w:r>
      <w:hyperlink r:id="rId30">
        <w:r w:rsidDel="00000000" w:rsidR="00000000" w:rsidRPr="00000000">
          <w:rPr>
            <w:rFonts w:ascii="Google Sans" w:cs="Google Sans" w:eastAsia="Google Sans" w:hAnsi="Google Sans"/>
            <w:color w:val="0000ee"/>
            <w:sz w:val="24"/>
            <w:szCs w:val="24"/>
            <w:u w:val="single"/>
            <w:rtl w:val="0"/>
          </w:rPr>
          <w:t xml:space="preserve">https://www.bcfsa.ca/industry-resources/real-estate-professional-resources/knowledge-base/advisory/amendments-proceeds-crime-money-laundering-and-terrorist-financing-regulations-new-information</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623D - Mastering Compliance AMLTraining for Brokers - Module 5 Risk Assessments.pdf - Gov.bc.ca, accessed August 25, 2025, </w:t>
      </w:r>
      <w:hyperlink r:id="rId31">
        <w:r w:rsidDel="00000000" w:rsidR="00000000" w:rsidRPr="00000000">
          <w:rPr>
            <w:rFonts w:ascii="Google Sans" w:cs="Google Sans" w:eastAsia="Google Sans" w:hAnsi="Google Sans"/>
            <w:color w:val="0000ee"/>
            <w:sz w:val="24"/>
            <w:szCs w:val="24"/>
            <w:u w:val="single"/>
            <w:rtl w:val="0"/>
          </w:rPr>
          <w:t xml:space="preserve">https://ag-pssg-sharedservices-ex.objectstore.gov.bc.ca/ag-pssg-cc-exh-prod-bkt-ex/623D%20-%20Mastering%20Compliance%20AMLTraining%20for%20Brokers%20-%20Module%205%20Risk%20Assessments.pdf</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and terrorist financing indicators—Money services businesses - canafe, accessed August 25, 2025, </w:t>
      </w:r>
      <w:hyperlink r:id="rId32">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https://fintrac-canafe.canada.ca/guidance-directives/transaction-operation/indicators-indicateurs/msb_mltf-eng</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and terrorist financing indicators—Virtual currency transactions - canafe, accessed August 25, 2025, </w:t>
      </w:r>
      <w:hyperlink r:id="rId33">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https://fintrac-canafe.canada.ca/guidance-directives/transaction-operation/indicators-indicateurs/vc_mltf-eng</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Compliance Solutions for Canadian Banks - Jumio, accessed August 25, 2025, </w:t>
      </w:r>
      <w:hyperlink r:id="rId34">
        <w:r w:rsidDel="00000000" w:rsidR="00000000" w:rsidRPr="00000000">
          <w:rPr>
            <w:rFonts w:ascii="Google Sans" w:cs="Google Sans" w:eastAsia="Google Sans" w:hAnsi="Google Sans"/>
            <w:color w:val="0000ee"/>
            <w:sz w:val="24"/>
            <w:szCs w:val="24"/>
            <w:u w:val="single"/>
            <w:rtl w:val="0"/>
          </w:rPr>
          <w:t xml:space="preserve">https://www.jumio.com/compliance-regulations/fintrac-compliance/</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Fintrac-Money Laundering and Terrorist Financing Typologies and Trends in and in Canadian Banking - May 2009 - Scribd, accessed August 25, 2025, </w:t>
      </w:r>
      <w:hyperlink r:id="rId35">
        <w:r w:rsidDel="00000000" w:rsidR="00000000" w:rsidRPr="00000000">
          <w:rPr>
            <w:rFonts w:ascii="Google Sans" w:cs="Google Sans" w:eastAsia="Google Sans" w:hAnsi="Google Sans"/>
            <w:color w:val="0000ee"/>
            <w:sz w:val="24"/>
            <w:szCs w:val="24"/>
            <w:u w:val="single"/>
            <w:rtl w:val="0"/>
          </w:rPr>
          <w:t xml:space="preserve">https://www.scribd.com/document/73656028/Fintrac-Money-Laundering-and-Terrorist-Financing-Typologies-and-Trends-in-and-in-Canadian-Banking-May-2009</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Risk Management and Resilience – Guideline - Office of the Superintendent of Financial Institutions, accessed August 25, 2025, </w:t>
      </w:r>
      <w:hyperlink r:id="rId36">
        <w:r w:rsidDel="00000000" w:rsidR="00000000" w:rsidRPr="00000000">
          <w:rPr>
            <w:rFonts w:ascii="Google Sans" w:cs="Google Sans" w:eastAsia="Google Sans" w:hAnsi="Google Sans"/>
            <w:color w:val="0000ee"/>
            <w:sz w:val="24"/>
            <w:szCs w:val="24"/>
            <w:u w:val="single"/>
            <w:rtl w:val="0"/>
          </w:rPr>
          <w:t xml:space="preserve">https://www.osfi-bsif.gc.ca/en/guidance/guidance-library/operational-risk-management-resilience-guideline</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Mid-tier institutions face FINTRAC reporting pressures - PwC, accessed August 25, 2025, </w:t>
      </w:r>
      <w:hyperlink r:id="rId37">
        <w:r w:rsidDel="00000000" w:rsidR="00000000" w:rsidRPr="00000000">
          <w:rPr>
            <w:rFonts w:ascii="Google Sans" w:cs="Google Sans" w:eastAsia="Google Sans" w:hAnsi="Google Sans"/>
            <w:color w:val="0000ee"/>
            <w:sz w:val="24"/>
            <w:szCs w:val="24"/>
            <w:u w:val="single"/>
            <w:rtl w:val="0"/>
          </w:rPr>
          <w:t xml:space="preserve">https://www.pwc.com/ca/en/services/consulting/financial-crime/fintrac-reporting-pressures.html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nnoco.com/blog/risk-based-approach-in-aml" TargetMode="External"/><Relationship Id="rId22" Type="http://schemas.openxmlformats.org/officeDocument/2006/relationships/hyperlink" Target="https://www.osfi-bsif.gc.ca/en/risks/integrity-security-foreign-interference" TargetMode="External"/><Relationship Id="rId21" Type="http://schemas.openxmlformats.org/officeDocument/2006/relationships/hyperlink" Target="https://ag-pssg-sharedservices-ex.objectstore.gov.bc.ca/ag-pssg-cc-exh-prod-bkt-ex/416%20-%20Office%20of%20the%20Superintendent%20of%20Financial%20Institutions%20Canada%20guideline%20Deterring%20and%20Detecting%20Money%20Laundering%20and%20Terrorist%20Finance%20no.%20B-8%20dated%20December%202008.pdf" TargetMode="External"/><Relationship Id="rId24" Type="http://schemas.openxmlformats.org/officeDocument/2006/relationships/hyperlink" Target="https://fintrac-canafe.canada.ca/guidance-directives/compliance-conformite/guide4/4-eng" TargetMode="External"/><Relationship Id="rId23" Type="http://schemas.openxmlformats.org/officeDocument/2006/relationships/hyperlink" Target="https://fintrac-canafe.canada.ca/guidance-directives/compliance-conformite/rba/rba-e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mplyadvantage.com/insights/how-to-comply-aml-kyc-requirements-canada/" TargetMode="External"/><Relationship Id="rId26" Type="http://schemas.openxmlformats.org/officeDocument/2006/relationships/hyperlink" Target="https://www.osler.com/en/insights/updates/federal-government-fast-tracks-changes-canadas-aml-regime/" TargetMode="External"/><Relationship Id="rId25" Type="http://schemas.openxmlformats.org/officeDocument/2006/relationships/hyperlink" Target="https://www.blakes.com/insights/canada-accelerates-amendments-to-its-anti-money-laundering-and-anti-terrorist-financing-regime/" TargetMode="External"/><Relationship Id="rId28" Type="http://schemas.openxmlformats.org/officeDocument/2006/relationships/hyperlink" Target="https://www.blakes.com/insights/significant-amendments-to-canada-s-anti-money-laundering-and-anti-terrorist-regime/" TargetMode="External"/><Relationship Id="rId27" Type="http://schemas.openxmlformats.org/officeDocument/2006/relationships/hyperlink" Target="https://www.nortonrosefulbright.com/en-ca/knowledge/publications/2ac8a9da/financial-crime-and-sanctions-law-2024-in-review-and-looking-ahead" TargetMode="External"/><Relationship Id="rId5" Type="http://schemas.openxmlformats.org/officeDocument/2006/relationships/styles" Target="styles.xml"/><Relationship Id="rId6" Type="http://schemas.openxmlformats.org/officeDocument/2006/relationships/hyperlink" Target="https://www.signzy.com/blogs/canadas-aml-kyc-compliance-rules-regulations-and-penalties" TargetMode="External"/><Relationship Id="rId29" Type="http://schemas.openxmlformats.org/officeDocument/2006/relationships/hyperlink" Target="https://fintrac-canafe.canada.ca/act-loi/1-eng" TargetMode="External"/><Relationship Id="rId7" Type="http://schemas.openxmlformats.org/officeDocument/2006/relationships/hyperlink" Target="https://arctic-intelligence.com/countries/compliance-canada" TargetMode="External"/><Relationship Id="rId8" Type="http://schemas.openxmlformats.org/officeDocument/2006/relationships/hyperlink" Target="https://www.ciro.ca/newsroom/publications/anti-money-laundering-compliance-guidance-0" TargetMode="External"/><Relationship Id="rId31" Type="http://schemas.openxmlformats.org/officeDocument/2006/relationships/hyperlink" Target="https://ag-pssg-sharedservices-ex.objectstore.gov.bc.ca/ag-pssg-cc-exh-prod-bkt-ex/623D%20-%20Mastering%20Compliance%20AMLTraining%20for%20Brokers%20-%20Module%205%20Risk%20Assessments.pdf" TargetMode="External"/><Relationship Id="rId30" Type="http://schemas.openxmlformats.org/officeDocument/2006/relationships/hyperlink" Target="https://www.bcfsa.ca/industry-resources/real-estate-professional-resources/knowledge-base/advisory/amendments-proceeds-crime-money-laundering-and-terrorist-financing-regulations-new-information" TargetMode="External"/><Relationship Id="rId11" Type="http://schemas.openxmlformats.org/officeDocument/2006/relationships/hyperlink" Target="https://www.osfi-bsif.gc.ca/en/about-osfi/osfi-knowledge-centre/learn-about-osfi-fintrac-work-together" TargetMode="External"/><Relationship Id="rId33" Type="http://schemas.openxmlformats.org/officeDocument/2006/relationships/hyperlink" Target="https://fintrac-canafe.canada.ca/guidance-directives/transaction-operation/indicators-indicateurs/vc_mltf-eng" TargetMode="External"/><Relationship Id="rId10" Type="http://schemas.openxmlformats.org/officeDocument/2006/relationships/hyperlink" Target="https://publications.gc.ca/collections/collection_2017/canafe-fintrac/FD4-6-2016-eng.pdf" TargetMode="External"/><Relationship Id="rId32" Type="http://schemas.openxmlformats.org/officeDocument/2006/relationships/hyperlink" Target="https://fintrac-canafe.canada.ca/guidance-directives/transaction-operation/indicators-indicateurs/msb_mltf-eng" TargetMode="External"/><Relationship Id="rId13" Type="http://schemas.openxmlformats.org/officeDocument/2006/relationships/hyperlink" Target="https://www.lexpert.ca/news/legal-faq/what-are-the-fintrac-requirements-for-banks-in-canada/392988" TargetMode="External"/><Relationship Id="rId35" Type="http://schemas.openxmlformats.org/officeDocument/2006/relationships/hyperlink" Target="https://www.scribd.com/document/73656028/Fintrac-Money-Laundering-and-Terrorist-Financing-Typologies-and-Trends-in-and-in-Canadian-Banking-May-2009" TargetMode="External"/><Relationship Id="rId12" Type="http://schemas.openxmlformats.org/officeDocument/2006/relationships/hyperlink" Target="https://www.mnp.ca/en/insights/directory/managing-the-new-landscape-of-aml-risk-assessment-in-financial-institutions" TargetMode="External"/><Relationship Id="rId34" Type="http://schemas.openxmlformats.org/officeDocument/2006/relationships/hyperlink" Target="https://www.jumio.com/compliance-regulations/fintrac-compliance/" TargetMode="External"/><Relationship Id="rId15" Type="http://schemas.openxmlformats.org/officeDocument/2006/relationships/hyperlink" Target="https://fintrac-canafe.canada.ca/new-neuf/nr/2024-05-02-eng" TargetMode="External"/><Relationship Id="rId37" Type="http://schemas.openxmlformats.org/officeDocument/2006/relationships/hyperlink" Target="https://www.pwc.com/ca/en/services/consulting/financial-crime/fintrac-reporting-pressures.html" TargetMode="External"/><Relationship Id="rId14" Type="http://schemas.openxmlformats.org/officeDocument/2006/relationships/hyperlink" Target="https://fintrac-canafe.canada.ca/pen/4-eng" TargetMode="External"/><Relationship Id="rId36" Type="http://schemas.openxmlformats.org/officeDocument/2006/relationships/hyperlink" Target="https://www.osfi-bsif.gc.ca/en/guidance/guidance-library/operational-risk-management-resilience-guideline" TargetMode="External"/><Relationship Id="rId17" Type="http://schemas.openxmlformats.org/officeDocument/2006/relationships/hyperlink" Target="https://www.fatf-gafi.org/content/dam/fatf-gafi/guidance/Risk-Based-Approach-Banking-Sector.pdf" TargetMode="External"/><Relationship Id="rId16" Type="http://schemas.openxmlformats.org/officeDocument/2006/relationships/hyperlink" Target="https://www.canadianfinancialcrimeacademy.ca/financial-crime-articles/suspicious-transaction-reporting-in-canada-quality-thresholds-and-common-pitfalls" TargetMode="External"/><Relationship Id="rId19" Type="http://schemas.openxmlformats.org/officeDocument/2006/relationships/hyperlink" Target="https://amlwatcher.com/our-coverage/canada/" TargetMode="External"/><Relationship Id="rId18" Type="http://schemas.openxmlformats.org/officeDocument/2006/relationships/hyperlink" Target="https://canadacommons.ca/artifacts/1195803/guidance-on-the-risk-based-approach-to-combatting-money-laundering-and-terrorist-financing/174892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